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top"/>
        <w:tblW w:w="1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5214"/>
      </w:tblGrid>
      <w:tr w:rsidR="00152C1F" w:rsidRPr="0037194E" w14:paraId="6A514788" w14:textId="77777777" w:rsidTr="00152C1F">
        <w:trPr>
          <w:trHeight w:val="301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AC0910D" w14:textId="77777777" w:rsidR="00152C1F" w:rsidRPr="00152C1F" w:rsidRDefault="00152C1F" w:rsidP="00152C1F">
            <w:r w:rsidRPr="00152C1F">
              <w:t>REPUBLIKA HRVATSKA</w:t>
            </w:r>
          </w:p>
          <w:p w14:paraId="388972BE" w14:textId="77777777" w:rsidR="00152C1F" w:rsidRPr="00152C1F" w:rsidRDefault="00152C1F" w:rsidP="00152C1F">
            <w:pPr>
              <w:ind w:right="-466"/>
            </w:pPr>
            <w:r>
              <w:t>ŽUPANIJA DUBROVAČKO-</w:t>
            </w:r>
            <w:r w:rsidRPr="00152C1F">
              <w:t xml:space="preserve">NERETVANSKA              </w:t>
            </w:r>
          </w:p>
          <w:p w14:paraId="0C03C6C2" w14:textId="77777777" w:rsidR="00152C1F" w:rsidRPr="00152C1F" w:rsidRDefault="00152C1F" w:rsidP="00DE0266">
            <w:pPr>
              <w:pStyle w:val="Podnoje"/>
              <w:tabs>
                <w:tab w:val="clear" w:pos="4536"/>
                <w:tab w:val="clear" w:pos="9072"/>
              </w:tabs>
              <w:rPr>
                <w:b/>
              </w:rPr>
            </w:pPr>
            <w:r w:rsidRPr="00152C1F">
              <w:rPr>
                <w:b/>
              </w:rPr>
              <w:t>Osnovna škola Ante Curać-Pinjac</w:t>
            </w:r>
          </w:p>
          <w:p w14:paraId="07ECAAE4" w14:textId="77777777" w:rsidR="00152C1F" w:rsidRDefault="00152C1F" w:rsidP="00DE0266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Šifra djelatnosti: 8520</w:t>
            </w:r>
          </w:p>
          <w:p w14:paraId="1D6498F7" w14:textId="77777777" w:rsidR="00152C1F" w:rsidRDefault="00152C1F" w:rsidP="00DE0266">
            <w:pPr>
              <w:pStyle w:val="Bezproreda"/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>Broj RKDP: 12261</w:t>
            </w:r>
          </w:p>
          <w:p w14:paraId="374CEEAF" w14:textId="77777777" w:rsidR="00475E02" w:rsidRPr="00475E02" w:rsidRDefault="00152C1F" w:rsidP="00475E02">
            <w:pPr>
              <w:pStyle w:val="Podnoje"/>
              <w:tabs>
                <w:tab w:val="clear" w:pos="4536"/>
                <w:tab w:val="clear" w:pos="9072"/>
              </w:tabs>
              <w:rPr>
                <w:rStyle w:val="Naglaeno"/>
                <w:b w:val="0"/>
              </w:rPr>
            </w:pPr>
            <w:r w:rsidRPr="00475E02">
              <w:rPr>
                <w:rStyle w:val="Naglaeno"/>
                <w:b w:val="0"/>
              </w:rPr>
              <w:t>Razina: 31</w:t>
            </w:r>
          </w:p>
          <w:p w14:paraId="1D6D76D5" w14:textId="77777777" w:rsidR="00475E02" w:rsidRDefault="00475E02" w:rsidP="00475E02">
            <w:pPr>
              <w:pStyle w:val="Podnoje"/>
              <w:tabs>
                <w:tab w:val="clear" w:pos="4536"/>
                <w:tab w:val="clear" w:pos="9072"/>
              </w:tabs>
              <w:rPr>
                <w:rStyle w:val="Naglaeno"/>
              </w:rPr>
            </w:pPr>
          </w:p>
          <w:p w14:paraId="0B749942" w14:textId="16CA0115" w:rsidR="00475E02" w:rsidRPr="0037194E" w:rsidRDefault="00475E02" w:rsidP="00475E02">
            <w:pPr>
              <w:pStyle w:val="Podnoje"/>
              <w:tabs>
                <w:tab w:val="clear" w:pos="4536"/>
                <w:tab w:val="clear" w:pos="9072"/>
              </w:tabs>
            </w:pPr>
            <w:r>
              <w:t>KLASA: 602-04/202</w:t>
            </w:r>
            <w:r w:rsidR="00DC2D90">
              <w:t>1</w:t>
            </w:r>
            <w:r w:rsidRPr="0037194E">
              <w:t>-01/</w:t>
            </w:r>
            <w:r w:rsidR="006F032A">
              <w:t>530</w:t>
            </w:r>
            <w:r w:rsidRPr="0037194E">
              <w:t xml:space="preserve">                                                                                                                                                          </w:t>
            </w:r>
          </w:p>
          <w:p w14:paraId="13281E38" w14:textId="11495102" w:rsidR="00475E02" w:rsidRPr="0037194E" w:rsidRDefault="00475E02" w:rsidP="00475E02">
            <w:r>
              <w:t>URBROJ: 2138/24-04/202</w:t>
            </w:r>
            <w:r w:rsidR="00DC2D90">
              <w:t>1</w:t>
            </w:r>
            <w:r w:rsidRPr="0037194E">
              <w:t>-</w:t>
            </w:r>
            <w:r w:rsidR="006F032A">
              <w:t>3</w:t>
            </w:r>
          </w:p>
          <w:p w14:paraId="051C0863" w14:textId="77777777" w:rsidR="00152C1F" w:rsidRPr="00983F71" w:rsidRDefault="00152C1F" w:rsidP="00DE0266">
            <w:pPr>
              <w:pStyle w:val="Bezproreda"/>
              <w:tabs>
                <w:tab w:val="left" w:pos="1725"/>
              </w:tabs>
              <w:rPr>
                <w:rStyle w:val="Naglaeno"/>
                <w:i w:val="0"/>
              </w:rPr>
            </w:pPr>
            <w:r>
              <w:rPr>
                <w:rStyle w:val="Naglaeno"/>
                <w:i w:val="0"/>
              </w:rPr>
              <w:tab/>
            </w:r>
          </w:p>
          <w:p w14:paraId="1F7A80BA" w14:textId="048513BA" w:rsidR="00152C1F" w:rsidRDefault="00152C1F" w:rsidP="00152C1F">
            <w:pPr>
              <w:pStyle w:val="Podnoje"/>
              <w:tabs>
                <w:tab w:val="clear" w:pos="4536"/>
                <w:tab w:val="clear" w:pos="9072"/>
              </w:tabs>
            </w:pPr>
            <w:r>
              <w:t xml:space="preserve">Žrnovo,  </w:t>
            </w:r>
            <w:r w:rsidR="006F032A">
              <w:t>27</w:t>
            </w:r>
            <w:r>
              <w:t>.</w:t>
            </w:r>
            <w:r w:rsidRPr="0037194E">
              <w:t xml:space="preserve"> </w:t>
            </w:r>
            <w:r w:rsidR="006F032A">
              <w:t>prosinca</w:t>
            </w:r>
            <w:r>
              <w:t xml:space="preserve"> 202</w:t>
            </w:r>
            <w:r w:rsidR="00DC2D90">
              <w:t>1</w:t>
            </w:r>
            <w:r w:rsidRPr="0037194E">
              <w:t>. godine</w:t>
            </w:r>
          </w:p>
          <w:p w14:paraId="39A93357" w14:textId="77777777" w:rsidR="00475E02" w:rsidRPr="0037194E" w:rsidRDefault="00475E02" w:rsidP="00152C1F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2B236D4B" w14:textId="77777777" w:rsidR="00152C1F" w:rsidRPr="0037194E" w:rsidRDefault="00152C1F" w:rsidP="00DE0266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0924A42D" w14:textId="77777777" w:rsidR="00152C1F" w:rsidRPr="0037194E" w:rsidRDefault="00152C1F" w:rsidP="00DE0266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  <w:p w14:paraId="5DBB023A" w14:textId="77777777" w:rsidR="00152C1F" w:rsidRPr="0037194E" w:rsidRDefault="00152C1F" w:rsidP="00152C1F">
            <w:pPr>
              <w:pStyle w:val="Podnoje"/>
              <w:tabs>
                <w:tab w:val="clear" w:pos="4536"/>
                <w:tab w:val="clear" w:pos="9072"/>
              </w:tabs>
              <w:ind w:left="720"/>
              <w:jc w:val="center"/>
              <w:rPr>
                <w:sz w:val="28"/>
              </w:rPr>
            </w:pPr>
          </w:p>
        </w:tc>
      </w:tr>
    </w:tbl>
    <w:p w14:paraId="4B320BCA" w14:textId="0A0691C1" w:rsidR="00152C1F" w:rsidRDefault="00152C1F" w:rsidP="008144B8">
      <w:pPr>
        <w:jc w:val="center"/>
        <w:rPr>
          <w:b/>
        </w:rPr>
      </w:pPr>
      <w:r w:rsidRPr="00787871">
        <w:rPr>
          <w:b/>
        </w:rPr>
        <w:t>OBRAZLOŽENJE FINANCIJSKOG PLANA</w:t>
      </w:r>
      <w:r>
        <w:rPr>
          <w:b/>
        </w:rPr>
        <w:t xml:space="preserve"> ZA 202</w:t>
      </w:r>
      <w:r w:rsidR="00DC2D90">
        <w:rPr>
          <w:b/>
        </w:rPr>
        <w:t>2</w:t>
      </w:r>
      <w:r>
        <w:rPr>
          <w:b/>
        </w:rPr>
        <w:t>. GODINU TE</w:t>
      </w:r>
    </w:p>
    <w:p w14:paraId="59FB26FD" w14:textId="4CE02806" w:rsidR="00152C1F" w:rsidRDefault="00152C1F" w:rsidP="008144B8">
      <w:pPr>
        <w:jc w:val="center"/>
        <w:rPr>
          <w:b/>
        </w:rPr>
      </w:pPr>
      <w:r>
        <w:rPr>
          <w:b/>
        </w:rPr>
        <w:t>PROJEKCIJA ZA 202</w:t>
      </w:r>
      <w:r w:rsidR="00DC2D90">
        <w:rPr>
          <w:b/>
        </w:rPr>
        <w:t>3</w:t>
      </w:r>
      <w:r>
        <w:rPr>
          <w:b/>
        </w:rPr>
        <w:t>. i 202</w:t>
      </w:r>
      <w:r w:rsidR="00DC2D90">
        <w:rPr>
          <w:b/>
        </w:rPr>
        <w:t>4</w:t>
      </w:r>
      <w:r>
        <w:rPr>
          <w:b/>
        </w:rPr>
        <w:t>. GODINU</w:t>
      </w:r>
    </w:p>
    <w:p w14:paraId="13139340" w14:textId="77777777" w:rsidR="00152C1F" w:rsidRPr="00152C1F" w:rsidRDefault="00152C1F" w:rsidP="00152C1F">
      <w:pPr>
        <w:rPr>
          <w:b/>
        </w:rPr>
      </w:pPr>
    </w:p>
    <w:p w14:paraId="7104C1D5" w14:textId="133A4BB8" w:rsidR="00152C1F" w:rsidRDefault="00152C1F" w:rsidP="00152C1F">
      <w:pPr>
        <w:spacing w:line="276" w:lineRule="auto"/>
      </w:pPr>
      <w:r w:rsidRPr="00152C1F">
        <w:tab/>
        <w:t>Sukladno Zakonu o proračunu, a na temelju Smjernica ekonomske i fiskalne politike za razdoblje 20</w:t>
      </w:r>
      <w:r>
        <w:t>2</w:t>
      </w:r>
      <w:r w:rsidR="00DC2D90">
        <w:t>2</w:t>
      </w:r>
      <w:r w:rsidR="008144B8">
        <w:t>.</w:t>
      </w:r>
      <w:r w:rsidRPr="00152C1F">
        <w:t>-20</w:t>
      </w:r>
      <w:r>
        <w:t>2</w:t>
      </w:r>
      <w:r w:rsidR="00DC2D90">
        <w:t>4</w:t>
      </w:r>
      <w:r w:rsidRPr="00152C1F">
        <w:t>.</w:t>
      </w:r>
      <w:r>
        <w:t xml:space="preserve"> </w:t>
      </w:r>
      <w:r w:rsidRPr="00152C1F">
        <w:t>godine, izradili smo financijski plan. Izrada financijskog plana korisnika proračuna propisana je Zakonom o proračunu, NN br. 87/08,136/12 i 15/15 te podzakonskim aktima, Pravilnikom o proračunskim klasifikacijama, NN br. 26/10., i Pravilnikom o proračunskom računovodstvu i računskom planu, NN br. 120/13,Izmjene i dopune Zakona o proračunu N.N.136/12,Novi pravilnik o proračunskom ra</w:t>
      </w:r>
      <w:r w:rsidR="006F7EA3">
        <w:t>čunovodstvu i Računskom planu N</w:t>
      </w:r>
      <w:r w:rsidRPr="00152C1F">
        <w:t xml:space="preserve">N 124/14 Člankom 29. stavkom 2. Zakona o proračunu propisano je da se financijski plan sastoji od: </w:t>
      </w:r>
    </w:p>
    <w:p w14:paraId="5E8D0270" w14:textId="77777777" w:rsidR="00152C1F" w:rsidRDefault="00152C1F" w:rsidP="00152C1F">
      <w:pPr>
        <w:spacing w:line="276" w:lineRule="auto"/>
      </w:pPr>
      <w:r w:rsidRPr="00152C1F">
        <w:sym w:font="Symbol" w:char="F0B7"/>
      </w:r>
      <w:r w:rsidRPr="00152C1F">
        <w:t xml:space="preserve"> prihoda i primitaka iskazanih po vrstama</w:t>
      </w:r>
    </w:p>
    <w:p w14:paraId="62A3587B" w14:textId="77777777" w:rsidR="00152C1F" w:rsidRDefault="00152C1F" w:rsidP="00152C1F">
      <w:pPr>
        <w:spacing w:line="276" w:lineRule="auto"/>
      </w:pPr>
      <w:r w:rsidRPr="00152C1F">
        <w:t xml:space="preserve"> </w:t>
      </w:r>
      <w:r w:rsidRPr="00152C1F">
        <w:sym w:font="Symbol" w:char="F0B7"/>
      </w:r>
      <w:r w:rsidRPr="00152C1F">
        <w:t xml:space="preserve"> rashoda i izdataka predviđenih za trogodišnje razdoblje, razvrstanih prema proračunskim </w:t>
      </w:r>
      <w:r w:rsidR="006F7EA3">
        <w:t xml:space="preserve">        </w:t>
      </w:r>
      <w:r w:rsidR="006F7EA3">
        <w:tab/>
      </w:r>
      <w:r w:rsidRPr="00152C1F">
        <w:t xml:space="preserve">klasifikacijama </w:t>
      </w:r>
    </w:p>
    <w:p w14:paraId="2F863FB3" w14:textId="77777777" w:rsidR="00152C1F" w:rsidRDefault="00152C1F" w:rsidP="00152C1F">
      <w:pPr>
        <w:spacing w:line="276" w:lineRule="auto"/>
      </w:pPr>
      <w:r w:rsidRPr="00152C1F">
        <w:sym w:font="Symbol" w:char="F0B7"/>
      </w:r>
      <w:r w:rsidRPr="00152C1F">
        <w:t xml:space="preserve"> obrazloženja financijskog plana </w:t>
      </w:r>
    </w:p>
    <w:p w14:paraId="4C4687C6" w14:textId="77777777" w:rsidR="00152C1F" w:rsidRDefault="00152C1F" w:rsidP="00152C1F">
      <w:pPr>
        <w:spacing w:line="276" w:lineRule="auto"/>
      </w:pPr>
      <w:r w:rsidRPr="00152C1F">
        <w:sym w:font="Symbol" w:char="F0B7"/>
      </w:r>
      <w:r w:rsidRPr="00152C1F">
        <w:t xml:space="preserve"> plana razvojnih programa. </w:t>
      </w:r>
    </w:p>
    <w:p w14:paraId="48D3974A" w14:textId="77777777" w:rsidR="00152C1F" w:rsidRDefault="008144B8" w:rsidP="00152C1F">
      <w:pPr>
        <w:spacing w:line="276" w:lineRule="auto"/>
      </w:pPr>
      <w:r>
        <w:tab/>
      </w:r>
      <w:r w:rsidR="00152C1F" w:rsidRPr="00152C1F">
        <w:t>Člankom 30. Zakona o proračunu utvrđen je obvezni sadržaj obrazloženja financijskog plana koji sačinjavaju: 1. sažetak djelokruga rada proračunskog kori</w:t>
      </w:r>
      <w:r w:rsidR="006F7EA3">
        <w:t xml:space="preserve">snika 2. obrazloženje programa </w:t>
      </w:r>
      <w:r w:rsidR="00152C1F" w:rsidRPr="00152C1F">
        <w:t xml:space="preserve"> 3. zakonske i druge podloge na kojima se zasnivaju programi 4. usklađene ciljeve, strategiju i programe s dokumentima dugoročnog razvoja 5. ishodište i pokazatelje na kojima se zasnivaju izračuni i ocjene potrebnih sredstava za provođenje programa 6. izvještaji o postignutim ciljevima i rezultatima programa temeljenim na pokazateljima uspješnosti iz nadležnosti proračunskog korisnika u prethodnoj godini 7. ostala obrazloženja i dokumenti. </w:t>
      </w:r>
      <w:r w:rsidR="006F7EA3">
        <w:tab/>
      </w:r>
      <w:r w:rsidR="00152C1F" w:rsidRPr="00152C1F">
        <w:t xml:space="preserve">Tako definirano obrazloženje postaje osnova analiziranja poslovanja škole: tko smo, što želimo postići, kako, u kojim okvirima, što smo do sada postigli, na osnovi čega temeljimo svoj razvoj. </w:t>
      </w:r>
    </w:p>
    <w:p w14:paraId="785FBBFC" w14:textId="2C61FDBE" w:rsidR="00152C1F" w:rsidRPr="006F7EA3" w:rsidRDefault="00152C1F" w:rsidP="006F7EA3">
      <w:pPr>
        <w:spacing w:line="276" w:lineRule="auto"/>
      </w:pPr>
      <w:r>
        <w:tab/>
      </w:r>
      <w:r w:rsidRPr="00152C1F">
        <w:t>Obrazloženjem financijskog plana povezujemo Godišnji plan i program rada škole i Školski kurikulum sa financijskim sredstvima potrebnim za njihovo ostvarivanje. Obrazloženje financijskog plana je i obvezuju</w:t>
      </w:r>
      <w:r w:rsidR="009A620B">
        <w:t>ć</w:t>
      </w:r>
      <w:r w:rsidRPr="00152C1F">
        <w:t>i odgovor u Upitniku o fiskalnoj odgovornosti, sastavnom djelu Izjave o fiskalnoj odgovornosti, koju ravnatelji moraju sastaviti i predati do 28. veljače 20</w:t>
      </w:r>
      <w:r w:rsidR="009A620B">
        <w:t>2</w:t>
      </w:r>
      <w:r w:rsidR="00DC2D90">
        <w:t>2</w:t>
      </w:r>
      <w:r w:rsidRPr="00152C1F">
        <w:t>. za 20</w:t>
      </w:r>
      <w:r w:rsidR="009A620B">
        <w:t>2</w:t>
      </w:r>
      <w:r w:rsidR="00DC2D90">
        <w:t>1</w:t>
      </w:r>
      <w:r w:rsidRPr="00152C1F">
        <w:t xml:space="preserve"> godinu (Uredba o sastavljanju i predaji Izjave o fiskalnoj odgovornosti i izvještaja o primjeni fiskalnih pravila, NN br139/10 i 19/14 i izmjena i dopuna uredbe o sastavljanju fiskalne odgovornosti NN 19/2015.</w:t>
      </w:r>
    </w:p>
    <w:p w14:paraId="0BBBA50A" w14:textId="77777777" w:rsidR="00152C1F" w:rsidRDefault="00152C1F" w:rsidP="00152C1F">
      <w:pPr>
        <w:rPr>
          <w:b/>
        </w:rPr>
      </w:pPr>
      <w:r>
        <w:rPr>
          <w:b/>
        </w:rPr>
        <w:lastRenderedPageBreak/>
        <w:t xml:space="preserve">1.Sažetak djelokruga rada proračunskog korisnika </w:t>
      </w:r>
    </w:p>
    <w:p w14:paraId="38B73917" w14:textId="77777777" w:rsidR="00152C1F" w:rsidRPr="00787871" w:rsidRDefault="00152C1F" w:rsidP="00152C1F">
      <w:pPr>
        <w:rPr>
          <w:b/>
        </w:rPr>
      </w:pPr>
    </w:p>
    <w:p w14:paraId="6815F3A1" w14:textId="53D32323" w:rsidR="00152C1F" w:rsidRDefault="00152C1F" w:rsidP="00152C1F">
      <w:pPr>
        <w:ind w:firstLine="708"/>
        <w:jc w:val="both"/>
      </w:pPr>
      <w:r>
        <w:t xml:space="preserve"> Osnovna škola </w:t>
      </w:r>
      <w:r w:rsidRPr="003E55A1">
        <w:rPr>
          <w:b/>
        </w:rPr>
        <w:t>Ante Curać-Pinjac, Žrnovo</w:t>
      </w:r>
      <w:r>
        <w:t xml:space="preserve"> obavlja javnu djelatnost sukladno Zakonu </w:t>
      </w:r>
      <w:r w:rsidRPr="007B0B0B">
        <w:t>o odgoju i obrazovanju u osnovnoj i srednjoj školi</w:t>
      </w:r>
      <w:r>
        <w:t>. U školi se izvodi redovna, izborna nastava, dodatna nastava, dopunska nastava i aktivnosti sukladno nastavnom planu i programu, godišnjem planu i programu rada škole, te školskom kurikulumu za školsku godinu 20</w:t>
      </w:r>
      <w:r w:rsidR="009A620B">
        <w:t>2</w:t>
      </w:r>
      <w:r w:rsidR="00DC2D90">
        <w:t>1</w:t>
      </w:r>
      <w:r w:rsidR="008144B8">
        <w:t xml:space="preserve">. </w:t>
      </w:r>
      <w:r>
        <w:t>/202</w:t>
      </w:r>
      <w:r w:rsidR="00DC2D90">
        <w:t>2</w:t>
      </w:r>
      <w:r>
        <w:t>.</w:t>
      </w:r>
    </w:p>
    <w:p w14:paraId="2D30643F" w14:textId="77777777" w:rsidR="00152C1F" w:rsidRDefault="00152C1F" w:rsidP="00152C1F">
      <w:pPr>
        <w:jc w:val="both"/>
      </w:pPr>
      <w:r>
        <w:tab/>
        <w:t>Školu pohađa 8</w:t>
      </w:r>
      <w:r w:rsidR="009A620B">
        <w:t>1</w:t>
      </w:r>
      <w:r>
        <w:t xml:space="preserve"> učenika raspoređenih u 9 razrednih odjela i to 4 odjela razredne nastave  i 4 odjela predmetne nastave u matičnoj školi u Žrnovu i jednom kombiniranom  razrednom odjeljenju u područnoj školi u Pupnatu. Nastava se odvija u jednoj smjeni (jutarnja) kroz petodnevni radni tjedan sa slobodnim subotama.</w:t>
      </w:r>
    </w:p>
    <w:p w14:paraId="348288EC" w14:textId="77777777" w:rsidR="00152C1F" w:rsidRDefault="00152C1F" w:rsidP="00152C1F"/>
    <w:p w14:paraId="0ECB9CE1" w14:textId="77777777" w:rsidR="00152C1F" w:rsidRDefault="00152C1F" w:rsidP="00152C1F">
      <w:pPr>
        <w:rPr>
          <w:b/>
        </w:rPr>
      </w:pPr>
      <w:r w:rsidRPr="0078216C">
        <w:rPr>
          <w:b/>
        </w:rPr>
        <w:t>2.Obrazloženje programa rada školske ustanove</w:t>
      </w:r>
    </w:p>
    <w:p w14:paraId="344E20BB" w14:textId="77777777" w:rsidR="00152C1F" w:rsidRDefault="00152C1F" w:rsidP="00152C1F">
      <w:pPr>
        <w:rPr>
          <w:b/>
        </w:rPr>
      </w:pPr>
    </w:p>
    <w:p w14:paraId="344A7A3B" w14:textId="77777777" w:rsidR="00152C1F" w:rsidRDefault="00152C1F" w:rsidP="00152C1F">
      <w:pPr>
        <w:ind w:firstLine="708"/>
        <w:jc w:val="both"/>
      </w:pPr>
      <w:r w:rsidRPr="0078216C">
        <w:t>Prioritet škole je</w:t>
      </w:r>
      <w:r>
        <w:t xml:space="preserve"> kvalitetno obrazovanje i odgoj učenika što ostvarujemo: </w:t>
      </w:r>
    </w:p>
    <w:p w14:paraId="283FEA2C" w14:textId="77777777" w:rsidR="00152C1F" w:rsidRDefault="00152C1F" w:rsidP="00152C1F">
      <w:pPr>
        <w:numPr>
          <w:ilvl w:val="0"/>
          <w:numId w:val="2"/>
        </w:numPr>
        <w:jc w:val="both"/>
      </w:pPr>
      <w:r>
        <w:t>stalnim usavršavanjem nastavnika (seminari, stručni skupovi, aktivi) i podizanjem nastavnog standarda na višu razinu;</w:t>
      </w:r>
    </w:p>
    <w:p w14:paraId="3707716D" w14:textId="77777777" w:rsidR="00152C1F" w:rsidRDefault="00152C1F" w:rsidP="00152C1F">
      <w:pPr>
        <w:numPr>
          <w:ilvl w:val="0"/>
          <w:numId w:val="2"/>
        </w:numPr>
        <w:jc w:val="both"/>
      </w:pPr>
      <w: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14:paraId="33973B77" w14:textId="77777777" w:rsidR="00152C1F" w:rsidRDefault="00152C1F" w:rsidP="00152C1F">
      <w:pPr>
        <w:numPr>
          <w:ilvl w:val="0"/>
          <w:numId w:val="2"/>
        </w:numPr>
        <w:jc w:val="both"/>
      </w:pPr>
      <w:r>
        <w:t>organiziranjem zajedničkih aktivnosti učenika i nastavnika tijekom izvannastavnih aktivnosti i druženja kroz kolektivno upoznavanje kulturne i duhovne baštine;</w:t>
      </w:r>
    </w:p>
    <w:p w14:paraId="4BD1080A" w14:textId="77777777" w:rsidR="00152C1F" w:rsidRDefault="00152C1F" w:rsidP="00152C1F">
      <w:pPr>
        <w:numPr>
          <w:ilvl w:val="0"/>
          <w:numId w:val="2"/>
        </w:numPr>
        <w:jc w:val="both"/>
      </w:pPr>
      <w:r>
        <w:t>poticanjem razvoja pozitivnih vrijednosti</w:t>
      </w:r>
    </w:p>
    <w:p w14:paraId="2D2E503C" w14:textId="77777777" w:rsidR="00152C1F" w:rsidRDefault="00152C1F" w:rsidP="00152C1F"/>
    <w:p w14:paraId="64C8D726" w14:textId="77777777" w:rsidR="00152C1F" w:rsidRPr="009B3A13" w:rsidRDefault="00152C1F" w:rsidP="00152C1F"/>
    <w:p w14:paraId="07F2C658" w14:textId="77777777" w:rsidR="00152C1F" w:rsidRDefault="00152C1F" w:rsidP="00152C1F">
      <w:pPr>
        <w:rPr>
          <w:b/>
        </w:rPr>
      </w:pPr>
      <w:r w:rsidRPr="009B3A13">
        <w:rPr>
          <w:b/>
        </w:rPr>
        <w:t>3.</w:t>
      </w:r>
      <w:r>
        <w:rPr>
          <w:b/>
        </w:rPr>
        <w:t xml:space="preserve"> </w:t>
      </w:r>
      <w:r w:rsidRPr="009B3A13">
        <w:rPr>
          <w:b/>
        </w:rPr>
        <w:t>Zakonske i druge podloge na kojima se zasniva program rada škole</w:t>
      </w:r>
    </w:p>
    <w:p w14:paraId="07AFC2EA" w14:textId="77777777" w:rsidR="00152C1F" w:rsidRDefault="00152C1F" w:rsidP="00152C1F">
      <w:pPr>
        <w:rPr>
          <w:b/>
        </w:rPr>
      </w:pPr>
    </w:p>
    <w:p w14:paraId="7CD52D2C" w14:textId="77777777" w:rsidR="00152C1F" w:rsidRDefault="00152C1F" w:rsidP="00152C1F">
      <w:pPr>
        <w:numPr>
          <w:ilvl w:val="0"/>
          <w:numId w:val="1"/>
        </w:numPr>
        <w:jc w:val="both"/>
      </w:pPr>
      <w:r>
        <w:t>Zakon o odgoju i obrazovanju u osnovnoj i srednjoj školi, (NN br. 87/08., 86/09., 92/10., 105/10., 90/11., 5/12., 16./12, 86/12., 126/12., 94/13., 152/14.,  7/17. i 68/18</w:t>
      </w:r>
      <w:r w:rsidR="009A620B" w:rsidRPr="003B18B8">
        <w:rPr>
          <w:sz w:val="22"/>
          <w:szCs w:val="22"/>
        </w:rPr>
        <w:t>, </w:t>
      </w:r>
      <w:hyperlink r:id="rId5" w:tgtFrame="_blank" w:history="1">
        <w:r w:rsidR="009A620B" w:rsidRPr="009A620B">
          <w:rPr>
            <w:rStyle w:val="Hiperveza"/>
            <w:color w:val="auto"/>
            <w:sz w:val="22"/>
            <w:szCs w:val="22"/>
            <w:u w:val="none"/>
          </w:rPr>
          <w:t>98/19</w:t>
        </w:r>
      </w:hyperlink>
      <w:r w:rsidR="009A620B" w:rsidRPr="009A620B">
        <w:rPr>
          <w:sz w:val="22"/>
          <w:szCs w:val="22"/>
        </w:rPr>
        <w:t>, </w:t>
      </w:r>
      <w:hyperlink r:id="rId6" w:history="1">
        <w:r w:rsidR="009A620B" w:rsidRPr="009A620B">
          <w:rPr>
            <w:rStyle w:val="Hiperveza"/>
            <w:color w:val="auto"/>
            <w:sz w:val="22"/>
            <w:szCs w:val="22"/>
            <w:u w:val="none"/>
          </w:rPr>
          <w:t>64/20</w:t>
        </w:r>
      </w:hyperlink>
      <w:r w:rsidRPr="009A620B">
        <w:t>.)</w:t>
      </w:r>
    </w:p>
    <w:p w14:paraId="1932EA98" w14:textId="77777777" w:rsidR="00152C1F" w:rsidRDefault="00152C1F" w:rsidP="00152C1F">
      <w:pPr>
        <w:numPr>
          <w:ilvl w:val="0"/>
          <w:numId w:val="1"/>
        </w:numPr>
        <w:jc w:val="both"/>
      </w:pPr>
      <w:r>
        <w:t>Zakon o ustanovama, (NN br. 76/93., 29/97., 47/99. i 35/08.)</w:t>
      </w:r>
    </w:p>
    <w:p w14:paraId="515E9B90" w14:textId="77777777" w:rsidR="00152C1F" w:rsidRDefault="00152C1F" w:rsidP="00152C1F">
      <w:pPr>
        <w:numPr>
          <w:ilvl w:val="0"/>
          <w:numId w:val="1"/>
        </w:numPr>
        <w:jc w:val="both"/>
      </w:pPr>
      <w:r>
        <w:t>Zakon o proračunu, (NN br. 87/08.,.), Pravilnik o proračunskim klasifikacijama (NN br. 26/10. i 120/13.</w:t>
      </w:r>
      <w:r w:rsidRPr="00A015BE">
        <w:t xml:space="preserve"> </w:t>
      </w:r>
      <w:r>
        <w:t>136/12. i 15/15.)) i Pravilnik o proračunskom računovodstvu i računskom planu (NN br. 124/04., 115/05. i 3/18.)</w:t>
      </w:r>
    </w:p>
    <w:p w14:paraId="3582D50E" w14:textId="77777777" w:rsidR="00152C1F" w:rsidRDefault="00152C1F" w:rsidP="00152C1F">
      <w:pPr>
        <w:numPr>
          <w:ilvl w:val="0"/>
          <w:numId w:val="1"/>
        </w:numPr>
        <w:jc w:val="both"/>
      </w:pPr>
      <w:r>
        <w:t xml:space="preserve">Godišnji plan i program rada škole, </w:t>
      </w:r>
      <w:r w:rsidR="008144B8">
        <w:t>Š</w:t>
      </w:r>
      <w:r>
        <w:t xml:space="preserve">kolski kurikulum </w:t>
      </w:r>
      <w:r w:rsidR="008144B8">
        <w:t>O</w:t>
      </w:r>
      <w:r>
        <w:t>snovne škole Ante Curać-Pinjac, Žrnovo.</w:t>
      </w:r>
    </w:p>
    <w:p w14:paraId="77344995" w14:textId="77777777" w:rsidR="00152C1F" w:rsidRDefault="00152C1F" w:rsidP="00152C1F">
      <w:pPr>
        <w:jc w:val="both"/>
      </w:pPr>
    </w:p>
    <w:p w14:paraId="2BF7CE9E" w14:textId="77777777" w:rsidR="00152C1F" w:rsidRDefault="00152C1F" w:rsidP="00152C1F">
      <w:pPr>
        <w:rPr>
          <w:b/>
        </w:rPr>
      </w:pPr>
      <w:r w:rsidRPr="004C0DC9">
        <w:rPr>
          <w:b/>
        </w:rPr>
        <w:t>4.</w:t>
      </w:r>
      <w:r>
        <w:rPr>
          <w:b/>
        </w:rPr>
        <w:t xml:space="preserve"> </w:t>
      </w:r>
      <w:r w:rsidRPr="004C0DC9">
        <w:rPr>
          <w:b/>
        </w:rPr>
        <w:t xml:space="preserve">Usklađenost </w:t>
      </w:r>
      <w:r>
        <w:rPr>
          <w:b/>
        </w:rPr>
        <w:t>ciljeva, strategije programa s dokumentima dugoročnog razvoja</w:t>
      </w:r>
    </w:p>
    <w:p w14:paraId="5CBE560B" w14:textId="77777777" w:rsidR="00152C1F" w:rsidRDefault="00152C1F" w:rsidP="00152C1F">
      <w:pPr>
        <w:rPr>
          <w:b/>
        </w:rPr>
      </w:pPr>
    </w:p>
    <w:p w14:paraId="0CF7CB40" w14:textId="77777777" w:rsidR="00152C1F" w:rsidRDefault="00152C1F" w:rsidP="00152C1F">
      <w:pPr>
        <w:ind w:firstLine="708"/>
        <w:jc w:val="both"/>
      </w:pPr>
      <w:r>
        <w:t>Školske ustanove ne donose strateške, već godišnje operativne planove prema planu i programu koje je donijelo Ministarstvo znanosti, obrazovanja i šport. Vertikala usklađivanja ciljeva i programa MZOŠ-a - jedinice lokalne (regionalne) samouprave - školske ustanove još nije provedena.</w:t>
      </w:r>
    </w:p>
    <w:p w14:paraId="193D1544" w14:textId="77777777" w:rsidR="00152C1F" w:rsidRDefault="00152C1F" w:rsidP="00152C1F">
      <w:pPr>
        <w:ind w:firstLine="708"/>
        <w:jc w:val="both"/>
      </w:pPr>
      <w:r>
        <w:t>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5765A253" w14:textId="77777777" w:rsidR="00152C1F" w:rsidRDefault="00152C1F" w:rsidP="00152C1F">
      <w:pPr>
        <w:rPr>
          <w:b/>
        </w:rPr>
      </w:pPr>
    </w:p>
    <w:p w14:paraId="71113513" w14:textId="6512C0CD" w:rsidR="006F7EA3" w:rsidRDefault="006F7EA3" w:rsidP="00152C1F">
      <w:pPr>
        <w:rPr>
          <w:b/>
        </w:rPr>
      </w:pPr>
    </w:p>
    <w:p w14:paraId="1B7B6FD6" w14:textId="77777777" w:rsidR="00234373" w:rsidRDefault="00234373" w:rsidP="00152C1F">
      <w:pPr>
        <w:rPr>
          <w:b/>
        </w:rPr>
      </w:pPr>
    </w:p>
    <w:p w14:paraId="3C2DFB76" w14:textId="77777777" w:rsidR="006F7EA3" w:rsidRDefault="006F7EA3" w:rsidP="00152C1F">
      <w:pPr>
        <w:rPr>
          <w:b/>
        </w:rPr>
      </w:pPr>
    </w:p>
    <w:p w14:paraId="4B14A486" w14:textId="77777777" w:rsidR="00152C1F" w:rsidRDefault="00152C1F" w:rsidP="00152C1F">
      <w:pPr>
        <w:rPr>
          <w:b/>
        </w:rPr>
      </w:pPr>
      <w:r w:rsidRPr="003E4370">
        <w:rPr>
          <w:b/>
        </w:rPr>
        <w:lastRenderedPageBreak/>
        <w:t xml:space="preserve">5. Ishodište i pokazatelji na kojima se zasnivaju izračuni i ocjene potrebnih sredstava za </w:t>
      </w:r>
      <w:r>
        <w:rPr>
          <w:b/>
        </w:rPr>
        <w:t xml:space="preserve">       </w:t>
      </w:r>
    </w:p>
    <w:p w14:paraId="71F88D88" w14:textId="77777777" w:rsidR="00152C1F" w:rsidRDefault="00152C1F" w:rsidP="00152C1F">
      <w:pPr>
        <w:rPr>
          <w:b/>
        </w:rPr>
      </w:pPr>
      <w:r>
        <w:rPr>
          <w:b/>
        </w:rPr>
        <w:t xml:space="preserve">    provođenje programa</w:t>
      </w:r>
    </w:p>
    <w:p w14:paraId="675A86FA" w14:textId="77777777" w:rsidR="00152C1F" w:rsidRDefault="00152C1F" w:rsidP="00152C1F">
      <w:pPr>
        <w:ind w:left="420"/>
        <w:rPr>
          <w:b/>
        </w:rPr>
      </w:pPr>
      <w:r>
        <w:rPr>
          <w:b/>
        </w:rPr>
        <w:t>Izvori sredstava za financiranje rada škole su:</w:t>
      </w:r>
    </w:p>
    <w:p w14:paraId="16F9064E" w14:textId="77777777" w:rsidR="00152C1F" w:rsidRDefault="00152C1F" w:rsidP="00152C1F">
      <w:pPr>
        <w:ind w:left="420"/>
        <w:rPr>
          <w:b/>
        </w:rPr>
      </w:pPr>
    </w:p>
    <w:p w14:paraId="6A739DDF" w14:textId="77777777" w:rsidR="00152C1F" w:rsidRPr="00423CBF" w:rsidRDefault="00152C1F" w:rsidP="00152C1F">
      <w:pPr>
        <w:numPr>
          <w:ilvl w:val="0"/>
          <w:numId w:val="3"/>
        </w:numPr>
        <w:jc w:val="both"/>
        <w:rPr>
          <w:b/>
        </w:rPr>
      </w:pPr>
      <w:r>
        <w:t>Opći  prihodi i primitci, skupina 671, državni proračun za financiranje rashoda za zaposlene;</w:t>
      </w:r>
    </w:p>
    <w:p w14:paraId="707C7569" w14:textId="77777777" w:rsidR="00152C1F" w:rsidRPr="00B06AFD" w:rsidRDefault="00152C1F" w:rsidP="00152C1F">
      <w:pPr>
        <w:numPr>
          <w:ilvl w:val="0"/>
          <w:numId w:val="3"/>
        </w:numPr>
        <w:jc w:val="both"/>
        <w:rPr>
          <w:b/>
        </w:rPr>
      </w:pPr>
      <w:r>
        <w:t>Opći prihodi i primitci, skupina 671, regionalni proračun za materijalne troškove poslovanja te održavanje i obnovu nefinancijske imovine;</w:t>
      </w:r>
    </w:p>
    <w:p w14:paraId="71B13195" w14:textId="77777777" w:rsidR="00152C1F" w:rsidRPr="00A646EC" w:rsidRDefault="00152C1F" w:rsidP="00152C1F">
      <w:pPr>
        <w:numPr>
          <w:ilvl w:val="0"/>
          <w:numId w:val="3"/>
        </w:numPr>
        <w:jc w:val="both"/>
        <w:rPr>
          <w:b/>
        </w:rPr>
      </w:pPr>
      <w:r>
        <w:t>Prihodi po posebnim propisima, skupina 652, sastoje se od prihoda od osiguranje učenika, uplate roditelja za provedbu dodatnih programa rada unutar školskog kurikuluma  (ekskurzije, škole u prirodi, kazalište i kino).</w:t>
      </w:r>
    </w:p>
    <w:p w14:paraId="35C80575" w14:textId="77777777" w:rsidR="00152C1F" w:rsidRDefault="00152C1F" w:rsidP="00152C1F"/>
    <w:p w14:paraId="55863BBC" w14:textId="77777777" w:rsidR="00152C1F" w:rsidRDefault="00152C1F" w:rsidP="00152C1F">
      <w:pPr>
        <w:jc w:val="both"/>
      </w:pPr>
      <w:r>
        <w:t>Indeksi rasta koje smo dužni primijeniti u planiranju rashoda koji se planiraju prema minimalnom standardu te rashoda za zaposlene su sljedeći:</w:t>
      </w:r>
    </w:p>
    <w:p w14:paraId="19AE7A29" w14:textId="77777777" w:rsidR="00152C1F" w:rsidRDefault="00152C1F" w:rsidP="00152C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920"/>
        <w:gridCol w:w="1800"/>
        <w:gridCol w:w="1800"/>
      </w:tblGrid>
      <w:tr w:rsidR="00152C1F" w14:paraId="1C92CF0E" w14:textId="77777777" w:rsidTr="00DE0266">
        <w:trPr>
          <w:trHeight w:val="390"/>
        </w:trPr>
        <w:tc>
          <w:tcPr>
            <w:tcW w:w="3000" w:type="dxa"/>
          </w:tcPr>
          <w:p w14:paraId="559128B9" w14:textId="77777777" w:rsidR="00152C1F" w:rsidRDefault="00152C1F" w:rsidP="00DE0266"/>
          <w:p w14:paraId="3CD41307" w14:textId="77777777" w:rsidR="00152C1F" w:rsidRDefault="00152C1F" w:rsidP="00DE0266">
            <w:pPr>
              <w:ind w:left="600"/>
            </w:pPr>
            <w:r>
              <w:t>RASHODI</w:t>
            </w:r>
          </w:p>
        </w:tc>
        <w:tc>
          <w:tcPr>
            <w:tcW w:w="1920" w:type="dxa"/>
          </w:tcPr>
          <w:p w14:paraId="2EEADADF" w14:textId="77777777" w:rsidR="00152C1F" w:rsidRDefault="00152C1F" w:rsidP="00DE0266">
            <w:pPr>
              <w:jc w:val="center"/>
            </w:pPr>
            <w:r>
              <w:t>Indeks</w:t>
            </w:r>
          </w:p>
          <w:p w14:paraId="02DB6300" w14:textId="697E25C7" w:rsidR="00152C1F" w:rsidRDefault="00152C1F" w:rsidP="009A620B">
            <w:pPr>
              <w:jc w:val="center"/>
            </w:pPr>
            <w:r>
              <w:t>202</w:t>
            </w:r>
            <w:r w:rsidR="00DC2D90">
              <w:t>2</w:t>
            </w:r>
            <w:r>
              <w:t>./</w:t>
            </w:r>
            <w:r w:rsidR="009A620B">
              <w:t>202</w:t>
            </w:r>
            <w:r w:rsidR="00DC2D90">
              <w:t>1</w:t>
            </w:r>
          </w:p>
        </w:tc>
        <w:tc>
          <w:tcPr>
            <w:tcW w:w="1800" w:type="dxa"/>
          </w:tcPr>
          <w:p w14:paraId="35719D24" w14:textId="77777777" w:rsidR="00152C1F" w:rsidRDefault="00152C1F" w:rsidP="00DE0266">
            <w:pPr>
              <w:jc w:val="center"/>
            </w:pPr>
            <w:r>
              <w:t>Indeks</w:t>
            </w:r>
          </w:p>
          <w:p w14:paraId="62A63303" w14:textId="0A1169BD" w:rsidR="00152C1F" w:rsidRDefault="00152C1F" w:rsidP="009A620B">
            <w:pPr>
              <w:jc w:val="center"/>
            </w:pPr>
            <w:r>
              <w:t>202</w:t>
            </w:r>
            <w:r w:rsidR="00DC2D90">
              <w:t>3</w:t>
            </w:r>
            <w:r>
              <w:t>./202</w:t>
            </w:r>
            <w:r w:rsidR="00DC2D90">
              <w:t>2</w:t>
            </w:r>
            <w:r>
              <w:t>.</w:t>
            </w:r>
          </w:p>
        </w:tc>
        <w:tc>
          <w:tcPr>
            <w:tcW w:w="1800" w:type="dxa"/>
          </w:tcPr>
          <w:p w14:paraId="1CFFEF21" w14:textId="77777777" w:rsidR="00152C1F" w:rsidRDefault="00152C1F" w:rsidP="00DE0266">
            <w:pPr>
              <w:jc w:val="center"/>
            </w:pPr>
            <w:r>
              <w:t>Indeks</w:t>
            </w:r>
          </w:p>
          <w:p w14:paraId="21859431" w14:textId="4DF0D225" w:rsidR="00152C1F" w:rsidRDefault="00152C1F" w:rsidP="009A620B">
            <w:pPr>
              <w:jc w:val="center"/>
            </w:pPr>
            <w:r>
              <w:t>202</w:t>
            </w:r>
            <w:r w:rsidR="00DC2D90">
              <w:t>4</w:t>
            </w:r>
            <w:r>
              <w:t>./202</w:t>
            </w:r>
            <w:r w:rsidR="00DC2D90">
              <w:t>3</w:t>
            </w:r>
            <w:r>
              <w:t>.</w:t>
            </w:r>
          </w:p>
        </w:tc>
      </w:tr>
      <w:tr w:rsidR="00152C1F" w14:paraId="318D3504" w14:textId="77777777" w:rsidTr="00DE0266">
        <w:trPr>
          <w:trHeight w:val="359"/>
        </w:trPr>
        <w:tc>
          <w:tcPr>
            <w:tcW w:w="3000" w:type="dxa"/>
          </w:tcPr>
          <w:p w14:paraId="471E08DA" w14:textId="77777777" w:rsidR="00152C1F" w:rsidRDefault="00152C1F" w:rsidP="00DE0266">
            <w:pPr>
              <w:ind w:left="600"/>
            </w:pPr>
            <w:r>
              <w:t>Rashodi za zaposlene</w:t>
            </w:r>
          </w:p>
        </w:tc>
        <w:tc>
          <w:tcPr>
            <w:tcW w:w="1920" w:type="dxa"/>
          </w:tcPr>
          <w:p w14:paraId="664678F2" w14:textId="77777777" w:rsidR="00152C1F" w:rsidRDefault="00152C1F" w:rsidP="00475E02">
            <w:pPr>
              <w:jc w:val="center"/>
            </w:pPr>
            <w:r>
              <w:t>100,</w:t>
            </w:r>
            <w:r w:rsidR="00723DDF">
              <w:t>5</w:t>
            </w:r>
          </w:p>
        </w:tc>
        <w:tc>
          <w:tcPr>
            <w:tcW w:w="1800" w:type="dxa"/>
          </w:tcPr>
          <w:p w14:paraId="389ACF61" w14:textId="77777777" w:rsidR="00152C1F" w:rsidRDefault="00152C1F" w:rsidP="00723DDF">
            <w:pPr>
              <w:jc w:val="center"/>
            </w:pPr>
            <w:r>
              <w:t>100,</w:t>
            </w:r>
            <w:r w:rsidR="00723DDF">
              <w:t>5</w:t>
            </w:r>
          </w:p>
        </w:tc>
        <w:tc>
          <w:tcPr>
            <w:tcW w:w="1800" w:type="dxa"/>
          </w:tcPr>
          <w:p w14:paraId="2612928F" w14:textId="77777777" w:rsidR="00152C1F" w:rsidRDefault="00152C1F" w:rsidP="00723DDF">
            <w:pPr>
              <w:jc w:val="center"/>
            </w:pPr>
            <w:r>
              <w:t>100,</w:t>
            </w:r>
            <w:r w:rsidR="00723DDF">
              <w:t>5</w:t>
            </w:r>
          </w:p>
        </w:tc>
      </w:tr>
      <w:tr w:rsidR="00152C1F" w14:paraId="4D28A8F0" w14:textId="77777777" w:rsidTr="00DE0266">
        <w:trPr>
          <w:trHeight w:val="345"/>
        </w:trPr>
        <w:tc>
          <w:tcPr>
            <w:tcW w:w="3000" w:type="dxa"/>
          </w:tcPr>
          <w:p w14:paraId="1137B5B8" w14:textId="77777777" w:rsidR="00152C1F" w:rsidRDefault="00152C1F" w:rsidP="00DE0266">
            <w:pPr>
              <w:ind w:left="600"/>
            </w:pPr>
            <w:r>
              <w:t>Materijalni rashodi</w:t>
            </w:r>
          </w:p>
        </w:tc>
        <w:tc>
          <w:tcPr>
            <w:tcW w:w="1920" w:type="dxa"/>
          </w:tcPr>
          <w:p w14:paraId="21431077" w14:textId="77777777" w:rsidR="00152C1F" w:rsidRDefault="00152C1F" w:rsidP="00DE0266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14:paraId="24DB56AF" w14:textId="77777777" w:rsidR="00152C1F" w:rsidRDefault="00152C1F" w:rsidP="00DE0266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14:paraId="0D994CEC" w14:textId="77777777" w:rsidR="00152C1F" w:rsidRDefault="00152C1F" w:rsidP="00DE0266">
            <w:pPr>
              <w:jc w:val="center"/>
            </w:pPr>
            <w:r>
              <w:t>100,0</w:t>
            </w:r>
          </w:p>
        </w:tc>
      </w:tr>
      <w:tr w:rsidR="00152C1F" w14:paraId="7D271254" w14:textId="77777777" w:rsidTr="00DE0266">
        <w:trPr>
          <w:trHeight w:val="450"/>
        </w:trPr>
        <w:tc>
          <w:tcPr>
            <w:tcW w:w="3000" w:type="dxa"/>
          </w:tcPr>
          <w:p w14:paraId="2BE5E9AA" w14:textId="77777777" w:rsidR="00152C1F" w:rsidRDefault="00152C1F" w:rsidP="00DE0266">
            <w:pPr>
              <w:ind w:left="600"/>
            </w:pPr>
            <w:r>
              <w:t>Rashodi za nabavu imovine</w:t>
            </w:r>
          </w:p>
        </w:tc>
        <w:tc>
          <w:tcPr>
            <w:tcW w:w="1920" w:type="dxa"/>
          </w:tcPr>
          <w:p w14:paraId="2E41D682" w14:textId="77777777" w:rsidR="00152C1F" w:rsidRDefault="00152C1F" w:rsidP="00DE0266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14:paraId="2ECEF219" w14:textId="77777777" w:rsidR="00152C1F" w:rsidRDefault="00152C1F" w:rsidP="00DE0266">
            <w:pPr>
              <w:jc w:val="center"/>
            </w:pPr>
            <w:r>
              <w:t>100,0</w:t>
            </w:r>
          </w:p>
        </w:tc>
        <w:tc>
          <w:tcPr>
            <w:tcW w:w="1800" w:type="dxa"/>
          </w:tcPr>
          <w:p w14:paraId="542A7DC0" w14:textId="77777777" w:rsidR="00152C1F" w:rsidRDefault="00152C1F" w:rsidP="00DE0266">
            <w:pPr>
              <w:jc w:val="center"/>
            </w:pPr>
            <w:r>
              <w:t>100,0</w:t>
            </w:r>
          </w:p>
        </w:tc>
      </w:tr>
    </w:tbl>
    <w:p w14:paraId="5EF709B7" w14:textId="77777777" w:rsidR="00152C1F" w:rsidRDefault="00152C1F" w:rsidP="00152C1F">
      <w:r>
        <w:t xml:space="preserve">   </w:t>
      </w:r>
    </w:p>
    <w:p w14:paraId="463C8C38" w14:textId="77777777" w:rsidR="00152C1F" w:rsidRDefault="00152C1F" w:rsidP="00152C1F">
      <w:r>
        <w:t xml:space="preserve">    </w:t>
      </w:r>
    </w:p>
    <w:p w14:paraId="1BDC18E9" w14:textId="77777777" w:rsidR="00152C1F" w:rsidRDefault="00152C1F" w:rsidP="00152C1F">
      <w:pPr>
        <w:rPr>
          <w:b/>
        </w:rPr>
      </w:pPr>
      <w:r>
        <w:tab/>
      </w:r>
      <w:r>
        <w:rPr>
          <w:b/>
        </w:rPr>
        <w:t>Prihodi iz državnog proračuna</w:t>
      </w:r>
    </w:p>
    <w:p w14:paraId="65B470F1" w14:textId="77777777" w:rsidR="00152C1F" w:rsidRDefault="00152C1F" w:rsidP="00152C1F"/>
    <w:p w14:paraId="565DC6A2" w14:textId="77777777" w:rsidR="00152C1F" w:rsidRDefault="00152C1F" w:rsidP="00152C1F">
      <w:pPr>
        <w:jc w:val="both"/>
      </w:pPr>
      <w:r>
        <w:t xml:space="preserve">               Ostali rashodi za zaposlene: izdaci za regres, božićnicu, dar djeci, planirani su na osnovu sadašnjeg stanja. Statistički, svake godine imamo i izdatke za pomoći za bolovanja duža od 90 dana i slučaj smrti člana uže obitelji i teže ih je predvidjeti; a jubilarne nagrade ovise o broju zaposlenih te ih je lakše predvidjeti  koji navrše broj godina rada potrebnih za ugovorenu isplatu. </w:t>
      </w:r>
    </w:p>
    <w:p w14:paraId="669A2312" w14:textId="7390E184" w:rsidR="00152C1F" w:rsidRDefault="00152C1F" w:rsidP="00152C1F">
      <w:pPr>
        <w:jc w:val="both"/>
      </w:pPr>
      <w:r>
        <w:t xml:space="preserve"> </w:t>
      </w:r>
      <w:r>
        <w:tab/>
        <w:t xml:space="preserve">   Brojčani pokazatelji su u tablicama Prava po kolektivnom ugovoru i predviđeni prihodi od MZOŠ-a za zaposlene koji se nalaze u tabeli  financijski plan 20</w:t>
      </w:r>
      <w:r w:rsidR="009A620B">
        <w:t>2</w:t>
      </w:r>
      <w:r w:rsidR="00DC2D90">
        <w:t>2</w:t>
      </w:r>
      <w:r>
        <w:t>-202</w:t>
      </w:r>
      <w:r w:rsidR="00DC2D90">
        <w:t>3</w:t>
      </w:r>
      <w:r>
        <w:t>.</w:t>
      </w:r>
    </w:p>
    <w:p w14:paraId="42404ACC" w14:textId="77777777" w:rsidR="00152C1F" w:rsidRDefault="00152C1F" w:rsidP="00152C1F">
      <w:pPr>
        <w:jc w:val="both"/>
      </w:pPr>
      <w:r>
        <w:t xml:space="preserve">               Troškovi prijevoza na rad i s rada  za zaposlenike osiguravaju se u državnom proračunu, pa su tako i planirani u skladu s postojećim  stanjem zaposlenih.</w:t>
      </w:r>
    </w:p>
    <w:p w14:paraId="3782451C" w14:textId="77777777" w:rsidR="00152C1F" w:rsidRDefault="00152C1F" w:rsidP="00152C1F"/>
    <w:p w14:paraId="1BA20436" w14:textId="77777777" w:rsidR="00152C1F" w:rsidRDefault="00152C1F" w:rsidP="00152C1F">
      <w:pPr>
        <w:rPr>
          <w:b/>
        </w:rPr>
      </w:pPr>
      <w:r>
        <w:t xml:space="preserve">                </w:t>
      </w:r>
      <w:r>
        <w:rPr>
          <w:b/>
        </w:rPr>
        <w:t>Prihodi od Županije</w:t>
      </w:r>
    </w:p>
    <w:p w14:paraId="31885892" w14:textId="77777777" w:rsidR="00152C1F" w:rsidRDefault="00152C1F" w:rsidP="00152C1F">
      <w:pPr>
        <w:rPr>
          <w:b/>
        </w:rPr>
      </w:pPr>
    </w:p>
    <w:p w14:paraId="56BAA16B" w14:textId="77777777" w:rsidR="00152C1F" w:rsidRPr="00EB301B" w:rsidRDefault="00152C1F" w:rsidP="00152C1F">
      <w:r>
        <w:rPr>
          <w:b/>
        </w:rPr>
        <w:t xml:space="preserve">     -   </w:t>
      </w:r>
      <w:r w:rsidRPr="00EB301B">
        <w:t>Prihode za financira</w:t>
      </w:r>
      <w:r>
        <w:t xml:space="preserve">nje rashoda koji se financiraju minimalnim standardima, planirali </w:t>
      </w:r>
      <w:r w:rsidRPr="00EB301B">
        <w:t xml:space="preserve">   </w:t>
      </w:r>
    </w:p>
    <w:p w14:paraId="50CF718B" w14:textId="77777777" w:rsidR="00152C1F" w:rsidRDefault="00152C1F" w:rsidP="00152C1F">
      <w:r>
        <w:t xml:space="preserve">          smo primjenom financijskih pokazatelja iz Upute za izradu proračuna što znači da smo </w:t>
      </w:r>
    </w:p>
    <w:p w14:paraId="4143BC02" w14:textId="77777777" w:rsidR="00152C1F" w:rsidRDefault="00152C1F" w:rsidP="00152C1F">
      <w:r>
        <w:t xml:space="preserve">          primijenili zadane indekse.</w:t>
      </w:r>
    </w:p>
    <w:p w14:paraId="5E9082C0" w14:textId="77777777" w:rsidR="00152C1F" w:rsidRPr="00EB301B" w:rsidRDefault="00152C1F" w:rsidP="00152C1F">
      <w:pPr>
        <w:jc w:val="both"/>
      </w:pPr>
      <w:r>
        <w:t xml:space="preserve">    -    Nakon izračuna prava na stvarne opće troškove škole na osnovu kriterija (broj učenika, </w:t>
      </w:r>
    </w:p>
    <w:p w14:paraId="68F4DA69" w14:textId="77777777" w:rsidR="00152C1F" w:rsidRDefault="00152C1F" w:rsidP="00152C1F">
      <w:pPr>
        <w:jc w:val="both"/>
      </w:pPr>
      <w:r>
        <w:t xml:space="preserve">          broj razrednih odjelu, veličina škole, udaljenost škole od središta Županije, specifičnost  </w:t>
      </w:r>
    </w:p>
    <w:p w14:paraId="146BE61C" w14:textId="77777777" w:rsidR="00152C1F" w:rsidRDefault="00152C1F" w:rsidP="00152C1F">
      <w:pPr>
        <w:jc w:val="both"/>
      </w:pPr>
      <w:r>
        <w:t xml:space="preserve">          otočnih škola, prijevoz učenika, najam sportskih dvorana) planirali smo materijalne i  </w:t>
      </w:r>
    </w:p>
    <w:p w14:paraId="0A676C3C" w14:textId="77777777" w:rsidR="00152C1F" w:rsidRDefault="00152C1F" w:rsidP="00152C1F">
      <w:pPr>
        <w:jc w:val="both"/>
      </w:pPr>
      <w:r>
        <w:t xml:space="preserve">          financijske rashode.      </w:t>
      </w:r>
    </w:p>
    <w:p w14:paraId="3CAFE5C8" w14:textId="77777777" w:rsidR="00152C1F" w:rsidRDefault="00152C1F" w:rsidP="00152C1F">
      <w:r>
        <w:t xml:space="preserve">          U Aktivnosti 2. financiranje temeljem kriterija prvo smo planirali „obvezne“    </w:t>
      </w:r>
    </w:p>
    <w:p w14:paraId="430EF509" w14:textId="77777777" w:rsidR="00152C1F" w:rsidRDefault="00152C1F" w:rsidP="00152C1F">
      <w:r>
        <w:t xml:space="preserve">          rashode za komunalne usluge (voda, smeće...), rashode za telefon, platni promet,   </w:t>
      </w:r>
    </w:p>
    <w:p w14:paraId="2FDB29C5" w14:textId="77777777" w:rsidR="00152C1F" w:rsidRDefault="00152C1F" w:rsidP="00152C1F">
      <w:r>
        <w:t xml:space="preserve">          mjesečne usluge prema ugovorima. Nakon toga planirali smo ostale troškove prema</w:t>
      </w:r>
    </w:p>
    <w:p w14:paraId="05DE39B2" w14:textId="77777777" w:rsidR="00152C1F" w:rsidRDefault="00152C1F" w:rsidP="00152C1F">
      <w:r>
        <w:t xml:space="preserve">          prioritetima funkcioniranja škole.</w:t>
      </w:r>
    </w:p>
    <w:p w14:paraId="39580DF3" w14:textId="77777777" w:rsidR="00152C1F" w:rsidRDefault="00152C1F" w:rsidP="00152C1F">
      <w:r>
        <w:t xml:space="preserve">   -     U Aktivnosti 3. financiranje rashoda poslovanja temeljem stvarnog troška, planirali</w:t>
      </w:r>
    </w:p>
    <w:p w14:paraId="021BE42B" w14:textId="77777777" w:rsidR="00152C1F" w:rsidRDefault="00152C1F" w:rsidP="00152C1F">
      <w:r>
        <w:t xml:space="preserve">          smo troškove pedagoške dokumentacije, el.energije, plina, zdravstvenih pregleda</w:t>
      </w:r>
    </w:p>
    <w:p w14:paraId="030D04A4" w14:textId="77777777" w:rsidR="00152C1F" w:rsidRDefault="00152C1F" w:rsidP="00152C1F">
      <w:r>
        <w:lastRenderedPageBreak/>
        <w:t xml:space="preserve">          zaposlenika.</w:t>
      </w:r>
    </w:p>
    <w:p w14:paraId="2577B1D8" w14:textId="77777777" w:rsidR="00152C1F" w:rsidRDefault="00152C1F" w:rsidP="00152C1F"/>
    <w:p w14:paraId="7BEE60A9" w14:textId="77777777" w:rsidR="00152C1F" w:rsidRDefault="00152C1F" w:rsidP="00152C1F">
      <w:pPr>
        <w:rPr>
          <w:b/>
        </w:rPr>
      </w:pPr>
      <w:r w:rsidRPr="00964180">
        <w:rPr>
          <w:b/>
        </w:rPr>
        <w:t xml:space="preserve">               Vlastiti prihodi</w:t>
      </w:r>
    </w:p>
    <w:p w14:paraId="02FF2A9C" w14:textId="77777777" w:rsidR="00152C1F" w:rsidRDefault="00152C1F" w:rsidP="00152C1F">
      <w:pPr>
        <w:rPr>
          <w:b/>
        </w:rPr>
      </w:pPr>
    </w:p>
    <w:p w14:paraId="121255DA" w14:textId="77777777" w:rsidR="00152C1F" w:rsidRDefault="00152C1F" w:rsidP="00152C1F">
      <w:r>
        <w:rPr>
          <w:b/>
        </w:rPr>
        <w:t xml:space="preserve">                </w:t>
      </w:r>
      <w:r w:rsidRPr="007E0AE1">
        <w:t xml:space="preserve">Vlastite </w:t>
      </w:r>
      <w:r>
        <w:t>prihode čine prihodi od prodaje suvenira i učeničkih radova izrađenih na radionicama. Prihodi su se koristiti prvenstveno za humanitarne donacije  i za kupovinu potrošnog materijala za potrebe radionica.</w:t>
      </w:r>
    </w:p>
    <w:p w14:paraId="647441FF" w14:textId="77777777" w:rsidR="00152C1F" w:rsidRDefault="00152C1F" w:rsidP="00152C1F"/>
    <w:p w14:paraId="5B14AE26" w14:textId="77777777" w:rsidR="00152C1F" w:rsidRDefault="00152C1F" w:rsidP="00152C1F">
      <w:pPr>
        <w:rPr>
          <w:b/>
        </w:rPr>
      </w:pPr>
      <w:r w:rsidRPr="007E0AE1">
        <w:rPr>
          <w:b/>
        </w:rPr>
        <w:t xml:space="preserve">                Prihodi od sufinanciranja</w:t>
      </w:r>
    </w:p>
    <w:p w14:paraId="4369D1D4" w14:textId="77777777" w:rsidR="00152C1F" w:rsidRDefault="00152C1F" w:rsidP="00152C1F">
      <w:pPr>
        <w:rPr>
          <w:b/>
        </w:rPr>
      </w:pPr>
    </w:p>
    <w:p w14:paraId="4DA38CAE" w14:textId="77777777" w:rsidR="00152C1F" w:rsidRPr="00A646EC" w:rsidRDefault="00152C1F" w:rsidP="00152C1F">
      <w:pPr>
        <w:rPr>
          <w:b/>
        </w:rPr>
      </w:pPr>
      <w:r>
        <w:rPr>
          <w:b/>
        </w:rPr>
        <w:t xml:space="preserve">                </w:t>
      </w:r>
      <w:r>
        <w:t>Namjenski prihodi obuhvaćaju prihode od uplata roditelja za osiguranje učenika, uplate roditelja za provedbu dodatnih programa rada unutar školskog kurikuluma  (ekskurzije, škole u prirodi, kazalište i kino), i u potpunosti se za namijenjene svrhe i utroše.</w:t>
      </w:r>
    </w:p>
    <w:p w14:paraId="1658C0D0" w14:textId="77777777" w:rsidR="00152C1F" w:rsidRDefault="00152C1F" w:rsidP="00152C1F">
      <w:pPr>
        <w:rPr>
          <w:b/>
        </w:rPr>
      </w:pPr>
    </w:p>
    <w:p w14:paraId="65E9979E" w14:textId="77777777" w:rsidR="00152C1F" w:rsidRDefault="00152C1F" w:rsidP="00152C1F">
      <w:pPr>
        <w:rPr>
          <w:b/>
        </w:rPr>
      </w:pPr>
      <w:r w:rsidRPr="00D30180">
        <w:rPr>
          <w:b/>
        </w:rPr>
        <w:t>6. Izvještaj o postignutim ciljevima i rezultatima programa temeljenim na pokazateljima uspješnosti iz nadležnosti proračunskog korisnika u prethodnoj godini</w:t>
      </w:r>
    </w:p>
    <w:p w14:paraId="4D6A811B" w14:textId="77777777" w:rsidR="009A620B" w:rsidRDefault="009A620B" w:rsidP="00152C1F">
      <w:pPr>
        <w:rPr>
          <w:b/>
        </w:rPr>
      </w:pPr>
    </w:p>
    <w:p w14:paraId="09E7DA8E" w14:textId="77777777" w:rsidR="00152C1F" w:rsidRDefault="00152C1F" w:rsidP="00152C1F">
      <w:pPr>
        <w:ind w:firstLine="708"/>
        <w:jc w:val="both"/>
      </w:pPr>
      <w:r>
        <w:t>Ostvareno je redovno odvijanje nastavnog procesa.</w:t>
      </w:r>
    </w:p>
    <w:p w14:paraId="1EB822B9" w14:textId="77777777" w:rsidR="00152C1F" w:rsidRDefault="00152C1F" w:rsidP="00152C1F">
      <w:pPr>
        <w:ind w:firstLine="708"/>
        <w:jc w:val="both"/>
      </w:pPr>
      <w:r>
        <w:t>Jedan od glavnih pokazatelja uspješnosti provođenja programa rezultati su koje učenici škole postižu na natjecanjima znanja, susretima i smotrama od županije preko regionalne do državne razine.</w:t>
      </w:r>
    </w:p>
    <w:p w14:paraId="1918E256" w14:textId="77777777" w:rsidR="00152C1F" w:rsidRDefault="00152C1F" w:rsidP="00152C1F">
      <w:pPr>
        <w:ind w:firstLine="708"/>
        <w:jc w:val="both"/>
      </w:pPr>
      <w:r>
        <w:t>Praćenje uspješnosti velikog broja učenika koji završavaju ovu školu s odličnim i vrlo dobrim uspjehom te upisuju željene srednje škole ukazuje na kvalitetan rad naših zaposlenika, stoga se zaposlenici moraju kontinuirano stručno usavršavati na stručnim aktivima i seminarima.</w:t>
      </w:r>
    </w:p>
    <w:p w14:paraId="6AAFA986" w14:textId="77777777" w:rsidR="00152C1F" w:rsidRDefault="00152C1F" w:rsidP="00152C1F">
      <w:pPr>
        <w:ind w:firstLine="708"/>
        <w:jc w:val="both"/>
      </w:pPr>
    </w:p>
    <w:p w14:paraId="700760EE" w14:textId="77777777" w:rsidR="009A620B" w:rsidRDefault="009A620B" w:rsidP="00152C1F">
      <w:r w:rsidRPr="009A620B">
        <w:rPr>
          <w:b/>
        </w:rPr>
        <w:t>7.  ZAKLJUČAK</w:t>
      </w:r>
      <w:r w:rsidRPr="009A620B">
        <w:t xml:space="preserve">: </w:t>
      </w:r>
    </w:p>
    <w:p w14:paraId="661E6FD6" w14:textId="77777777" w:rsidR="009A620B" w:rsidRDefault="009A620B" w:rsidP="009A620B">
      <w:pPr>
        <w:spacing w:line="276" w:lineRule="auto"/>
      </w:pPr>
    </w:p>
    <w:p w14:paraId="38B55BCE" w14:textId="77777777" w:rsidR="009A620B" w:rsidRDefault="009A620B" w:rsidP="009A620B">
      <w:pPr>
        <w:spacing w:line="276" w:lineRule="auto"/>
      </w:pPr>
      <w:r>
        <w:tab/>
      </w:r>
      <w:r w:rsidRPr="009A620B">
        <w:t xml:space="preserve">Obrazloženje financijskog plana jednako je važan dokument kao i sam plan iskazan u brojkama. U njemu povezujemo ciljeve škole s izvorima sredstava za njihovo ostvarenje te pratimo uspješnost realizacije. Radeći analize prošle potrošnje, usporedbe prihoda i rashoda po određenim kategorijama, stvaramo i podloge za kvalitetnije upravljanje sredstvima s kojima raspolažemo. </w:t>
      </w:r>
    </w:p>
    <w:p w14:paraId="208FB95E" w14:textId="77777777" w:rsidR="00152C1F" w:rsidRDefault="009A620B" w:rsidP="009A620B">
      <w:pPr>
        <w:spacing w:line="276" w:lineRule="auto"/>
      </w:pPr>
      <w:r>
        <w:tab/>
      </w:r>
      <w:r w:rsidRPr="009A620B">
        <w:t>Drugi važan razlog za izradu detaljnog obrazloženja je olakšana mogućnost praćenja izvršenja plana te argumentiranja mogućih/vjerojatnih izmjena i dopuna financijskog plana. Posebno se to odnosi na situacije smanjenog priliva novca odnosno povećanja izdataka za neplanirane okolnosti.</w:t>
      </w:r>
    </w:p>
    <w:p w14:paraId="44C70239" w14:textId="77777777" w:rsidR="008144B8" w:rsidRDefault="008144B8" w:rsidP="009A620B">
      <w:pPr>
        <w:spacing w:line="360" w:lineRule="auto"/>
      </w:pPr>
    </w:p>
    <w:p w14:paraId="21AD0B97" w14:textId="652F2AF9" w:rsidR="008144B8" w:rsidRDefault="008144B8" w:rsidP="009A620B">
      <w:pPr>
        <w:spacing w:line="360" w:lineRule="auto"/>
      </w:pPr>
      <w:r>
        <w:t xml:space="preserve">U Žrnovu </w:t>
      </w:r>
      <w:r w:rsidR="00DC2D90">
        <w:t>02.studenog 2021.</w:t>
      </w:r>
    </w:p>
    <w:p w14:paraId="06A27341" w14:textId="77777777" w:rsidR="008144B8" w:rsidRDefault="008144B8" w:rsidP="009A620B">
      <w:pPr>
        <w:spacing w:line="360" w:lineRule="auto"/>
      </w:pPr>
    </w:p>
    <w:p w14:paraId="212C3E76" w14:textId="77777777" w:rsidR="006F7EA3" w:rsidRDefault="006F7EA3" w:rsidP="009A620B">
      <w:pPr>
        <w:spacing w:line="360" w:lineRule="auto"/>
      </w:pPr>
    </w:p>
    <w:p w14:paraId="3964F109" w14:textId="7737164C" w:rsidR="00BF0EBE" w:rsidRDefault="009A620B" w:rsidP="009A620B">
      <w:pPr>
        <w:spacing w:line="360" w:lineRule="auto"/>
      </w:pPr>
      <w:r>
        <w:t>PREDSJEDNICA ŠKOLSKOG ODBORA</w:t>
      </w:r>
      <w:r w:rsidR="008144B8">
        <w:t>:</w:t>
      </w:r>
      <w:r>
        <w:tab/>
      </w:r>
      <w:r>
        <w:tab/>
      </w:r>
      <w:r>
        <w:tab/>
        <w:t xml:space="preserve">                  </w:t>
      </w:r>
      <w:r w:rsidR="00DC2D90">
        <w:t xml:space="preserve">        </w:t>
      </w:r>
      <w:r>
        <w:t>RAVNATELJ</w:t>
      </w:r>
      <w:r w:rsidR="008144B8">
        <w:t>:</w:t>
      </w:r>
    </w:p>
    <w:p w14:paraId="707FBAA3" w14:textId="77777777" w:rsidR="009A620B" w:rsidRDefault="009A620B" w:rsidP="009A620B">
      <w:pPr>
        <w:spacing w:line="360" w:lineRule="auto"/>
      </w:pPr>
      <w:r>
        <w:t xml:space="preserve">            </w:t>
      </w:r>
      <w:r w:rsidR="00475E02">
        <w:t xml:space="preserve">       </w:t>
      </w:r>
      <w:r>
        <w:t>Snježana Ćenan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144B8">
        <w:t xml:space="preserve">    </w:t>
      </w:r>
      <w:r>
        <w:t xml:space="preserve"> Ivan Fabris</w:t>
      </w:r>
    </w:p>
    <w:p w14:paraId="6F27ED48" w14:textId="77777777" w:rsidR="008144B8" w:rsidRDefault="008144B8" w:rsidP="009A620B">
      <w:pPr>
        <w:spacing w:line="360" w:lineRule="auto"/>
      </w:pPr>
    </w:p>
    <w:p w14:paraId="69C6DCEA" w14:textId="77777777" w:rsidR="008144B8" w:rsidRDefault="008144B8">
      <w:pPr>
        <w:spacing w:line="360" w:lineRule="auto"/>
      </w:pPr>
    </w:p>
    <w:sectPr w:rsidR="008144B8" w:rsidSect="00BF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CBB"/>
    <w:multiLevelType w:val="hybridMultilevel"/>
    <w:tmpl w:val="7DB87EAE"/>
    <w:lvl w:ilvl="0" w:tplc="A27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4901"/>
    <w:multiLevelType w:val="hybridMultilevel"/>
    <w:tmpl w:val="5F34E774"/>
    <w:lvl w:ilvl="0" w:tplc="DFA092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1872A4"/>
    <w:multiLevelType w:val="hybridMultilevel"/>
    <w:tmpl w:val="53AA3C48"/>
    <w:lvl w:ilvl="0" w:tplc="C6E86C6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F"/>
    <w:rsid w:val="00152C1F"/>
    <w:rsid w:val="00234373"/>
    <w:rsid w:val="00342D23"/>
    <w:rsid w:val="003B30E6"/>
    <w:rsid w:val="004754E3"/>
    <w:rsid w:val="00475E02"/>
    <w:rsid w:val="004F3733"/>
    <w:rsid w:val="00541B41"/>
    <w:rsid w:val="005F3BD2"/>
    <w:rsid w:val="006564B1"/>
    <w:rsid w:val="006E57BE"/>
    <w:rsid w:val="006F032A"/>
    <w:rsid w:val="006F7EA3"/>
    <w:rsid w:val="00723DDF"/>
    <w:rsid w:val="008144B8"/>
    <w:rsid w:val="009257F4"/>
    <w:rsid w:val="009A620B"/>
    <w:rsid w:val="00BF0EBE"/>
    <w:rsid w:val="00D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4962"/>
  <w15:docId w15:val="{15A97927-3789-4831-9B5D-A47912F4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52C1F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52C1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rsid w:val="00152C1F"/>
    <w:rPr>
      <w:color w:val="0000FF"/>
      <w:u w:val="single"/>
    </w:rPr>
  </w:style>
  <w:style w:type="paragraph" w:styleId="Podnoje">
    <w:name w:val="footer"/>
    <w:basedOn w:val="Normal"/>
    <w:link w:val="PodnojeChar"/>
    <w:rsid w:val="00152C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52C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152C1F"/>
    <w:rPr>
      <w:b/>
      <w:bCs/>
    </w:rPr>
  </w:style>
  <w:style w:type="paragraph" w:styleId="Bezproreda">
    <w:name w:val="No Spacing"/>
    <w:uiPriority w:val="1"/>
    <w:qFormat/>
    <w:rsid w:val="00152C1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Odlomakpopisa">
    <w:name w:val="List Paragraph"/>
    <w:basedOn w:val="Normal"/>
    <w:uiPriority w:val="34"/>
    <w:qFormat/>
    <w:rsid w:val="00152C1F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5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Milena Matulović</cp:lastModifiedBy>
  <cp:revision>6</cp:revision>
  <cp:lastPrinted>2021-10-06T06:33:00Z</cp:lastPrinted>
  <dcterms:created xsi:type="dcterms:W3CDTF">2021-11-02T10:08:00Z</dcterms:created>
  <dcterms:modified xsi:type="dcterms:W3CDTF">2022-01-07T08:54:00Z</dcterms:modified>
</cp:coreProperties>
</file>